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C6CFB">
      <w:pPr>
        <w:widowControl w:val="0"/>
        <w:snapToGrid w:val="0"/>
        <w:spacing w:after="0" w:line="440" w:lineRule="exact"/>
        <w:jc w:val="center"/>
        <w:rPr>
          <w:rFonts w:hint="eastAsia" w:ascii="方正小标宋简体" w:hAnsi="仿宋" w:eastAsia="方正小标宋简体" w:cs="方正仿宋简体"/>
          <w:color w:val="000000"/>
          <w:kern w:val="2"/>
          <w:sz w:val="32"/>
          <w:szCs w:val="32"/>
          <w:lang w:eastAsia="zh-CN"/>
        </w:rPr>
      </w:pPr>
      <w:r>
        <w:rPr>
          <w:rFonts w:hint="eastAsia" w:ascii="方正小标宋简体" w:hAnsi="仿宋" w:eastAsia="方正小标宋简体" w:cs="方正仿宋简体"/>
          <w:color w:val="000000"/>
          <w:kern w:val="2"/>
          <w:sz w:val="32"/>
          <w:szCs w:val="32"/>
          <w:lang w:eastAsia="zh-CN"/>
        </w:rPr>
        <w:t>2026年北京市车用柴油清净剂产品质量监督抽查实施细则</w:t>
      </w:r>
    </w:p>
    <w:p w14:paraId="6A5B878A">
      <w:pPr>
        <w:spacing w:line="240" w:lineRule="auto"/>
        <w:rPr>
          <w:sz w:val="21"/>
          <w:szCs w:val="21"/>
        </w:rPr>
      </w:pPr>
    </w:p>
    <w:p w14:paraId="6408438D">
      <w:pPr>
        <w:widowControl w:val="0"/>
        <w:snapToGrid w:val="0"/>
        <w:spacing w:after="0" w:line="440" w:lineRule="exact"/>
        <w:jc w:val="both"/>
        <w:rPr>
          <w:rFonts w:hint="eastAsia" w:ascii="黑体" w:hAnsi="宋体" w:eastAsia="黑体" w:cs="Times New Roman"/>
          <w:color w:val="000000"/>
          <w:kern w:val="2"/>
          <w:sz w:val="21"/>
          <w:szCs w:val="21"/>
          <w:lang w:eastAsia="zh-CN"/>
        </w:rPr>
      </w:pPr>
      <w:r>
        <w:rPr>
          <w:rFonts w:hint="eastAsia" w:ascii="黑体" w:hAnsi="宋体" w:eastAsia="黑体" w:cs="Times New Roman"/>
          <w:color w:val="000000"/>
          <w:kern w:val="2"/>
          <w:sz w:val="21"/>
          <w:szCs w:val="21"/>
          <w:lang w:eastAsia="zh-CN"/>
        </w:rPr>
        <w:t>1 抽样方法</w:t>
      </w:r>
    </w:p>
    <w:p w14:paraId="5F08BC87">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以随机抽样的方式在被抽样生产者、销售者的待销产品中抽取。</w:t>
      </w:r>
    </w:p>
    <w:p w14:paraId="2D473CF4">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随机数一般可使用随机数表等方法产生。</w:t>
      </w:r>
    </w:p>
    <w:p w14:paraId="554E96D7">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抽样基数满足抽样数量即可，每批次产品抽取不少于2个独立包装、总量不</w:t>
      </w:r>
      <w:r>
        <w:rPr>
          <w:rFonts w:hint="eastAsia" w:ascii="宋体" w:hAnsi="宋体" w:cs="Times New Roman"/>
          <w:color w:val="000000"/>
          <w:kern w:val="2"/>
          <w:sz w:val="21"/>
          <w:szCs w:val="21"/>
          <w:lang w:val="en-US" w:eastAsia="zh-CN"/>
        </w:rPr>
        <w:t>少</w:t>
      </w:r>
      <w:r>
        <w:rPr>
          <w:rFonts w:hint="eastAsia" w:ascii="宋体" w:hAnsi="宋体" w:cs="Times New Roman"/>
          <w:color w:val="000000"/>
          <w:kern w:val="2"/>
          <w:sz w:val="21"/>
          <w:szCs w:val="21"/>
          <w:lang w:eastAsia="zh-CN"/>
        </w:rPr>
        <w:t>于</w:t>
      </w:r>
      <w:r>
        <w:rPr>
          <w:rFonts w:hint="eastAsia" w:ascii="宋体" w:hAnsi="宋体" w:cs="Times New Roman"/>
          <w:color w:val="000000"/>
          <w:kern w:val="2"/>
          <w:sz w:val="21"/>
          <w:szCs w:val="21"/>
          <w:lang w:val="en-US" w:eastAsia="zh-CN"/>
        </w:rPr>
        <w:t>2</w:t>
      </w:r>
      <w:r>
        <w:rPr>
          <w:rFonts w:hint="eastAsia" w:ascii="宋体" w:hAnsi="宋体" w:cs="Times New Roman"/>
          <w:color w:val="000000"/>
          <w:kern w:val="2"/>
          <w:sz w:val="21"/>
          <w:szCs w:val="21"/>
          <w:lang w:eastAsia="zh-CN"/>
        </w:rPr>
        <w:t>L的样品，</w:t>
      </w:r>
      <w:r>
        <w:rPr>
          <w:rFonts w:hint="eastAsia" w:ascii="宋体" w:hAnsi="宋体" w:cs="Times New Roman"/>
          <w:color w:val="000000"/>
          <w:kern w:val="2"/>
          <w:sz w:val="21"/>
          <w:szCs w:val="21"/>
          <w:lang w:val="en-US" w:eastAsia="zh-CN"/>
        </w:rPr>
        <w:t>其中</w:t>
      </w:r>
      <w:r>
        <w:rPr>
          <w:rFonts w:hint="eastAsia" w:ascii="宋体" w:hAnsi="宋体" w:cs="Times New Roman"/>
          <w:color w:val="000000"/>
          <w:kern w:val="2"/>
          <w:sz w:val="21"/>
          <w:szCs w:val="21"/>
          <w:lang w:eastAsia="zh-CN"/>
        </w:rPr>
        <w:t>1</w:t>
      </w:r>
      <w:r>
        <w:rPr>
          <w:rFonts w:hint="eastAsia" w:ascii="宋体" w:hAnsi="宋体" w:cs="Times New Roman"/>
          <w:color w:val="000000"/>
          <w:kern w:val="2"/>
          <w:sz w:val="21"/>
          <w:szCs w:val="21"/>
          <w:lang w:val="en-US" w:eastAsia="zh-CN"/>
        </w:rPr>
        <w:t>.5L</w:t>
      </w:r>
      <w:r>
        <w:rPr>
          <w:rFonts w:hint="eastAsia" w:ascii="宋体" w:hAnsi="宋体" w:cs="Times New Roman"/>
          <w:color w:val="000000"/>
          <w:kern w:val="2"/>
          <w:sz w:val="21"/>
          <w:szCs w:val="21"/>
          <w:lang w:eastAsia="zh-CN"/>
        </w:rPr>
        <w:t>为检验</w:t>
      </w:r>
      <w:r>
        <w:rPr>
          <w:rFonts w:hint="eastAsia" w:ascii="宋体" w:hAnsi="宋体" w:cs="Times New Roman"/>
          <w:color w:val="000000"/>
          <w:kern w:val="2"/>
          <w:sz w:val="21"/>
          <w:szCs w:val="21"/>
          <w:lang w:val="en-US" w:eastAsia="zh-CN"/>
        </w:rPr>
        <w:t>用</w:t>
      </w:r>
      <w:r>
        <w:rPr>
          <w:rFonts w:hint="eastAsia" w:ascii="宋体" w:hAnsi="宋体" w:cs="Times New Roman"/>
          <w:color w:val="000000"/>
          <w:kern w:val="2"/>
          <w:sz w:val="21"/>
          <w:szCs w:val="21"/>
          <w:lang w:eastAsia="zh-CN"/>
        </w:rPr>
        <w:t>样品，</w:t>
      </w:r>
      <w:r>
        <w:rPr>
          <w:rFonts w:hint="eastAsia" w:ascii="宋体" w:hAnsi="宋体" w:cs="Times New Roman"/>
          <w:color w:val="000000"/>
          <w:kern w:val="2"/>
          <w:sz w:val="21"/>
          <w:szCs w:val="21"/>
          <w:lang w:val="en-US" w:eastAsia="zh-CN"/>
        </w:rPr>
        <w:t>另0.5L</w:t>
      </w:r>
      <w:r>
        <w:rPr>
          <w:rFonts w:hint="eastAsia" w:ascii="宋体" w:hAnsi="宋体" w:cs="Times New Roman"/>
          <w:color w:val="000000"/>
          <w:kern w:val="2"/>
          <w:sz w:val="21"/>
          <w:szCs w:val="21"/>
          <w:lang w:eastAsia="zh-CN"/>
        </w:rPr>
        <w:t>为备用样品。</w:t>
      </w:r>
    </w:p>
    <w:p w14:paraId="6D4DA68B">
      <w:pPr>
        <w:widowControl w:val="0"/>
        <w:snapToGrid w:val="0"/>
        <w:spacing w:after="0" w:line="240" w:lineRule="auto"/>
        <w:jc w:val="both"/>
        <w:rPr>
          <w:rFonts w:hint="eastAsia" w:ascii="黑体" w:hAnsi="宋体" w:eastAsia="黑体" w:cs="Times New Roman"/>
          <w:color w:val="000000"/>
          <w:kern w:val="2"/>
          <w:sz w:val="21"/>
          <w:szCs w:val="21"/>
          <w:lang w:eastAsia="zh-CN"/>
        </w:rPr>
      </w:pPr>
    </w:p>
    <w:p w14:paraId="6B22646C">
      <w:pPr>
        <w:widowControl w:val="0"/>
        <w:snapToGrid w:val="0"/>
        <w:spacing w:after="0" w:line="440" w:lineRule="exact"/>
        <w:jc w:val="both"/>
        <w:rPr>
          <w:rFonts w:hint="eastAsia" w:ascii="黑体" w:hAnsi="宋体" w:eastAsia="黑体" w:cs="Times New Roman"/>
          <w:color w:val="000000"/>
          <w:kern w:val="2"/>
          <w:sz w:val="21"/>
          <w:szCs w:val="21"/>
          <w:lang w:eastAsia="zh-CN"/>
        </w:rPr>
      </w:pPr>
      <w:r>
        <w:rPr>
          <w:rFonts w:hint="eastAsia" w:ascii="黑体" w:hAnsi="宋体" w:eastAsia="黑体" w:cs="Times New Roman"/>
          <w:color w:val="000000"/>
          <w:kern w:val="2"/>
          <w:sz w:val="21"/>
          <w:szCs w:val="21"/>
          <w:lang w:eastAsia="zh-CN"/>
        </w:rPr>
        <w:t>2 检验依据</w:t>
      </w:r>
      <w:bookmarkStart w:id="0" w:name="_GoBack"/>
      <w:bookmarkEnd w:id="0"/>
    </w:p>
    <w:p w14:paraId="7CFF302C">
      <w:pPr>
        <w:widowControl w:val="0"/>
        <w:snapToGrid w:val="0"/>
        <w:spacing w:after="0" w:line="240" w:lineRule="auto"/>
        <w:ind w:firstLine="420" w:firstLineChars="200"/>
        <w:jc w:val="both"/>
        <w:rPr>
          <w:rFonts w:hint="eastAsia" w:ascii="宋体" w:hAnsi="宋体" w:cs="Times New Roman"/>
          <w:color w:val="000000"/>
          <w:kern w:val="2"/>
          <w:sz w:val="21"/>
          <w:szCs w:val="21"/>
          <w:lang w:eastAsia="zh-CN"/>
        </w:rPr>
      </w:pPr>
    </w:p>
    <w:tbl>
      <w:tblPr>
        <w:tblStyle w:val="3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1967"/>
        <w:gridCol w:w="2947"/>
        <w:gridCol w:w="2953"/>
      </w:tblGrid>
      <w:tr w14:paraId="1B76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blHeader/>
          <w:jc w:val="center"/>
        </w:trPr>
        <w:tc>
          <w:tcPr>
            <w:tcW w:w="556" w:type="pct"/>
            <w:vAlign w:val="center"/>
          </w:tcPr>
          <w:p w14:paraId="729AE5CE">
            <w:pPr>
              <w:snapToGrid w:val="0"/>
              <w:spacing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序号</w:t>
            </w:r>
          </w:p>
        </w:tc>
        <w:tc>
          <w:tcPr>
            <w:tcW w:w="1111" w:type="pct"/>
            <w:vAlign w:val="center"/>
          </w:tcPr>
          <w:p w14:paraId="6FE16165">
            <w:pPr>
              <w:snapToGrid w:val="0"/>
              <w:spacing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检验项目</w:t>
            </w:r>
          </w:p>
        </w:tc>
        <w:tc>
          <w:tcPr>
            <w:tcW w:w="1665" w:type="pct"/>
            <w:vAlign w:val="center"/>
          </w:tcPr>
          <w:p w14:paraId="0A7D03AB">
            <w:pPr>
              <w:snapToGrid w:val="0"/>
              <w:spacing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检验依据</w:t>
            </w:r>
          </w:p>
        </w:tc>
        <w:tc>
          <w:tcPr>
            <w:tcW w:w="1665" w:type="pct"/>
            <w:vAlign w:val="center"/>
          </w:tcPr>
          <w:p w14:paraId="770E3EF5">
            <w:pPr>
              <w:snapToGrid w:val="0"/>
              <w:spacing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检验方法</w:t>
            </w:r>
          </w:p>
        </w:tc>
      </w:tr>
      <w:tr w14:paraId="6E50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vAlign w:val="center"/>
          </w:tcPr>
          <w:p w14:paraId="572A4DCD">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1</w:t>
            </w:r>
          </w:p>
        </w:tc>
        <w:tc>
          <w:tcPr>
            <w:tcW w:w="1111" w:type="pct"/>
            <w:tcBorders>
              <w:top w:val="single" w:color="000000" w:sz="4" w:space="0"/>
              <w:left w:val="single" w:color="000000" w:sz="4" w:space="0"/>
              <w:bottom w:val="single" w:color="000000" w:sz="4" w:space="0"/>
              <w:right w:val="single" w:color="000000" w:sz="4" w:space="0"/>
            </w:tcBorders>
            <w:vAlign w:val="center"/>
          </w:tcPr>
          <w:p w14:paraId="47DA8BD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倾点</w:t>
            </w:r>
            <w:r>
              <w:rPr>
                <w:rFonts w:hint="eastAsia" w:ascii="Times New Roman" w:hAnsi="Times New Roman" w:cs="Times New Roman"/>
                <w:b w:val="0"/>
                <w:bCs/>
                <w:sz w:val="21"/>
                <w:szCs w:val="21"/>
                <w:vertAlign w:val="superscript"/>
                <w:lang w:val="en-US" w:eastAsia="zh-CN"/>
              </w:rPr>
              <w:t>#</w:t>
            </w:r>
          </w:p>
        </w:tc>
        <w:tc>
          <w:tcPr>
            <w:tcW w:w="1665" w:type="pct"/>
            <w:tcBorders>
              <w:top w:val="single" w:color="000000" w:sz="4" w:space="0"/>
              <w:left w:val="single" w:color="000000" w:sz="4" w:space="0"/>
              <w:bottom w:val="single" w:color="000000" w:sz="4" w:space="0"/>
              <w:right w:val="single" w:color="000000" w:sz="4" w:space="0"/>
            </w:tcBorders>
            <w:vAlign w:val="center"/>
          </w:tcPr>
          <w:p w14:paraId="68F3447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32859—2016</w:t>
            </w:r>
          </w:p>
        </w:tc>
        <w:tc>
          <w:tcPr>
            <w:tcW w:w="1665" w:type="pct"/>
            <w:tcBorders>
              <w:top w:val="single" w:color="000000" w:sz="4" w:space="0"/>
              <w:left w:val="single" w:color="000000" w:sz="4" w:space="0"/>
              <w:bottom w:val="single" w:color="000000" w:sz="4" w:space="0"/>
              <w:right w:val="single" w:color="000000" w:sz="4" w:space="0"/>
            </w:tcBorders>
            <w:vAlign w:val="center"/>
          </w:tcPr>
          <w:p w14:paraId="75EAEF6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3535—2025</w:t>
            </w:r>
          </w:p>
        </w:tc>
      </w:tr>
      <w:tr w14:paraId="5FC2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vAlign w:val="center"/>
          </w:tcPr>
          <w:p w14:paraId="25C3731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2</w:t>
            </w:r>
          </w:p>
        </w:tc>
        <w:tc>
          <w:tcPr>
            <w:tcW w:w="1111" w:type="pct"/>
            <w:tcBorders>
              <w:top w:val="single" w:color="000000" w:sz="4" w:space="0"/>
              <w:left w:val="single" w:color="000000" w:sz="4" w:space="0"/>
              <w:bottom w:val="single" w:color="000000" w:sz="4" w:space="0"/>
              <w:right w:val="single" w:color="000000" w:sz="4" w:space="0"/>
            </w:tcBorders>
            <w:vAlign w:val="center"/>
          </w:tcPr>
          <w:p w14:paraId="3726FD97">
            <w:pPr>
              <w:snapToGrid w:val="0"/>
              <w:spacing w:before="0" w:after="0" w:line="240" w:lineRule="auto"/>
              <w:ind w:left="0" w:leftChars="0" w:right="0" w:rightChars="0" w:firstLine="0" w:firstLineChars="0"/>
              <w:jc w:val="center"/>
              <w:rPr>
                <w:rFonts w:hint="eastAsia" w:ascii="Times New Roman" w:hAnsi="Times New Roman" w:eastAsia="宋体" w:cs="Times New Roman"/>
                <w:b w:val="0"/>
                <w:bCs w:val="0"/>
                <w:sz w:val="21"/>
                <w:lang w:eastAsia="zh-CN"/>
              </w:rPr>
            </w:pPr>
            <w:r>
              <w:rPr>
                <w:rFonts w:hint="default" w:ascii="Times New Roman" w:hAnsi="Times New Roman" w:eastAsia="宋体" w:cs="Times New Roman"/>
                <w:b w:val="0"/>
                <w:bCs w:val="0"/>
                <w:sz w:val="21"/>
              </w:rPr>
              <w:t>闪点</w:t>
            </w:r>
            <w:r>
              <w:rPr>
                <w:rFonts w:hint="eastAsia" w:ascii="Times New Roman" w:hAnsi="Times New Roman" w:cs="Times New Roman"/>
                <w:b w:val="0"/>
                <w:bCs w:val="0"/>
                <w:sz w:val="21"/>
                <w:lang w:eastAsia="zh-CN"/>
              </w:rPr>
              <w:t>（</w:t>
            </w:r>
            <w:r>
              <w:rPr>
                <w:rFonts w:hint="default" w:ascii="Times New Roman" w:hAnsi="Times New Roman" w:eastAsia="宋体" w:cs="Times New Roman"/>
                <w:b w:val="0"/>
                <w:bCs w:val="0"/>
                <w:sz w:val="21"/>
              </w:rPr>
              <w:t>闭口</w:t>
            </w:r>
            <w:r>
              <w:rPr>
                <w:rFonts w:hint="eastAsia" w:ascii="Times New Roman" w:hAnsi="Times New Roman" w:cs="Times New Roman"/>
                <w:b w:val="0"/>
                <w:bCs w:val="0"/>
                <w:sz w:val="21"/>
                <w:lang w:eastAsia="zh-CN"/>
              </w:rPr>
              <w:t>）</w:t>
            </w:r>
            <w:r>
              <w:rPr>
                <w:rFonts w:hint="eastAsia" w:ascii="Times New Roman" w:hAnsi="Times New Roman" w:cs="Times New Roman"/>
                <w:b w:val="0"/>
                <w:bCs/>
                <w:sz w:val="21"/>
                <w:szCs w:val="21"/>
                <w:vertAlign w:val="superscript"/>
                <w:lang w:val="en-US" w:eastAsia="zh-CN"/>
              </w:rPr>
              <w:t>#</w:t>
            </w:r>
          </w:p>
        </w:tc>
        <w:tc>
          <w:tcPr>
            <w:tcW w:w="1665" w:type="pct"/>
            <w:tcBorders>
              <w:top w:val="single" w:color="000000" w:sz="4" w:space="0"/>
              <w:left w:val="single" w:color="000000" w:sz="4" w:space="0"/>
              <w:bottom w:val="single" w:color="000000" w:sz="4" w:space="0"/>
              <w:right w:val="single" w:color="000000" w:sz="4" w:space="0"/>
            </w:tcBorders>
            <w:vAlign w:val="center"/>
          </w:tcPr>
          <w:p w14:paraId="5EAF1C7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32859—2016</w:t>
            </w:r>
          </w:p>
        </w:tc>
        <w:tc>
          <w:tcPr>
            <w:tcW w:w="1665" w:type="pct"/>
            <w:tcBorders>
              <w:top w:val="single" w:color="000000" w:sz="4" w:space="0"/>
              <w:left w:val="single" w:color="000000" w:sz="4" w:space="0"/>
              <w:bottom w:val="single" w:color="000000" w:sz="4" w:space="0"/>
              <w:right w:val="single" w:color="000000" w:sz="4" w:space="0"/>
            </w:tcBorders>
            <w:vAlign w:val="center"/>
          </w:tcPr>
          <w:p w14:paraId="2A58A89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261—2021</w:t>
            </w:r>
          </w:p>
        </w:tc>
      </w:tr>
      <w:tr w14:paraId="3A1DB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vAlign w:val="center"/>
          </w:tcPr>
          <w:p w14:paraId="6FC6B77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3</w:t>
            </w:r>
          </w:p>
        </w:tc>
        <w:tc>
          <w:tcPr>
            <w:tcW w:w="1111" w:type="pct"/>
            <w:tcBorders>
              <w:top w:val="single" w:color="000000" w:sz="4" w:space="0"/>
              <w:left w:val="single" w:color="000000" w:sz="4" w:space="0"/>
              <w:bottom w:val="single" w:color="000000" w:sz="4" w:space="0"/>
              <w:right w:val="single" w:color="000000" w:sz="4" w:space="0"/>
            </w:tcBorders>
            <w:vAlign w:val="center"/>
          </w:tcPr>
          <w:p w14:paraId="5ECB5EA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破乳性</w:t>
            </w:r>
            <w:r>
              <w:rPr>
                <w:rFonts w:hint="eastAsia" w:ascii="Times New Roman" w:hAnsi="Times New Roman" w:cs="Times New Roman"/>
                <w:b w:val="0"/>
                <w:bCs/>
                <w:sz w:val="21"/>
                <w:szCs w:val="21"/>
                <w:vertAlign w:val="superscript"/>
                <w:lang w:val="en-US" w:eastAsia="zh-CN"/>
              </w:rPr>
              <w:t>#</w:t>
            </w:r>
          </w:p>
        </w:tc>
        <w:tc>
          <w:tcPr>
            <w:tcW w:w="1665" w:type="pct"/>
            <w:tcBorders>
              <w:top w:val="single" w:color="000000" w:sz="4" w:space="0"/>
              <w:left w:val="single" w:color="000000" w:sz="4" w:space="0"/>
              <w:bottom w:val="single" w:color="000000" w:sz="4" w:space="0"/>
              <w:right w:val="single" w:color="000000" w:sz="4" w:space="0"/>
            </w:tcBorders>
            <w:vAlign w:val="center"/>
          </w:tcPr>
          <w:p w14:paraId="3AB54D3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32859—2016</w:t>
            </w:r>
          </w:p>
        </w:tc>
        <w:tc>
          <w:tcPr>
            <w:tcW w:w="1665" w:type="pct"/>
            <w:tcBorders>
              <w:top w:val="single" w:color="000000" w:sz="4" w:space="0"/>
              <w:left w:val="single" w:color="000000" w:sz="4" w:space="0"/>
              <w:bottom w:val="single" w:color="000000" w:sz="4" w:space="0"/>
              <w:right w:val="single" w:color="000000" w:sz="4" w:space="0"/>
            </w:tcBorders>
            <w:vAlign w:val="center"/>
          </w:tcPr>
          <w:p w14:paraId="7403CEC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32859—2016</w:t>
            </w:r>
          </w:p>
        </w:tc>
      </w:tr>
      <w:tr w14:paraId="6C64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vAlign w:val="center"/>
          </w:tcPr>
          <w:p w14:paraId="0AEC8A39">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4</w:t>
            </w:r>
          </w:p>
        </w:tc>
        <w:tc>
          <w:tcPr>
            <w:tcW w:w="1111" w:type="pct"/>
            <w:tcBorders>
              <w:top w:val="single" w:color="000000" w:sz="4" w:space="0"/>
              <w:left w:val="single" w:color="000000" w:sz="4" w:space="0"/>
              <w:bottom w:val="single" w:color="000000" w:sz="4" w:space="0"/>
              <w:right w:val="single" w:color="000000" w:sz="4" w:space="0"/>
            </w:tcBorders>
            <w:vAlign w:val="center"/>
          </w:tcPr>
          <w:p w14:paraId="60E1995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机械杂质</w:t>
            </w:r>
            <w:r>
              <w:rPr>
                <w:rFonts w:hint="eastAsia" w:ascii="Times New Roman" w:hAnsi="Times New Roman" w:cs="Times New Roman"/>
                <w:b w:val="0"/>
                <w:bCs/>
                <w:sz w:val="21"/>
                <w:szCs w:val="21"/>
                <w:vertAlign w:val="superscript"/>
                <w:lang w:val="en-US" w:eastAsia="zh-CN"/>
              </w:rPr>
              <w:t>#</w:t>
            </w:r>
          </w:p>
        </w:tc>
        <w:tc>
          <w:tcPr>
            <w:tcW w:w="1665" w:type="pct"/>
            <w:tcBorders>
              <w:top w:val="single" w:color="000000" w:sz="4" w:space="0"/>
              <w:left w:val="single" w:color="000000" w:sz="4" w:space="0"/>
              <w:bottom w:val="single" w:color="000000" w:sz="4" w:space="0"/>
              <w:right w:val="single" w:color="000000" w:sz="4" w:space="0"/>
            </w:tcBorders>
            <w:vAlign w:val="center"/>
          </w:tcPr>
          <w:p w14:paraId="5840C72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32859—2016</w:t>
            </w:r>
          </w:p>
        </w:tc>
        <w:tc>
          <w:tcPr>
            <w:tcW w:w="1665" w:type="pct"/>
            <w:tcBorders>
              <w:top w:val="single" w:color="000000" w:sz="4" w:space="0"/>
              <w:left w:val="single" w:color="000000" w:sz="4" w:space="0"/>
              <w:bottom w:val="single" w:color="000000" w:sz="4" w:space="0"/>
              <w:right w:val="single" w:color="000000" w:sz="4" w:space="0"/>
            </w:tcBorders>
            <w:vAlign w:val="center"/>
          </w:tcPr>
          <w:p w14:paraId="6AFEE5A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511—2010</w:t>
            </w:r>
          </w:p>
        </w:tc>
      </w:tr>
      <w:tr w14:paraId="16316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vAlign w:val="center"/>
          </w:tcPr>
          <w:p w14:paraId="1BAD487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5</w:t>
            </w:r>
          </w:p>
        </w:tc>
        <w:tc>
          <w:tcPr>
            <w:tcW w:w="1111" w:type="pct"/>
            <w:tcBorders>
              <w:top w:val="single" w:color="000000" w:sz="4" w:space="0"/>
              <w:left w:val="single" w:color="000000" w:sz="4" w:space="0"/>
              <w:bottom w:val="single" w:color="000000" w:sz="4" w:space="0"/>
              <w:right w:val="single" w:color="000000" w:sz="4" w:space="0"/>
            </w:tcBorders>
            <w:vAlign w:val="center"/>
          </w:tcPr>
          <w:p w14:paraId="13B2A549">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硫含量</w:t>
            </w:r>
          </w:p>
        </w:tc>
        <w:tc>
          <w:tcPr>
            <w:tcW w:w="1665" w:type="pct"/>
            <w:tcBorders>
              <w:top w:val="single" w:color="000000" w:sz="4" w:space="0"/>
              <w:left w:val="single" w:color="000000" w:sz="4" w:space="0"/>
              <w:bottom w:val="single" w:color="000000" w:sz="4" w:space="0"/>
              <w:right w:val="single" w:color="000000" w:sz="4" w:space="0"/>
            </w:tcBorders>
            <w:vAlign w:val="center"/>
          </w:tcPr>
          <w:p w14:paraId="53042BC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32859—2016</w:t>
            </w:r>
          </w:p>
        </w:tc>
        <w:tc>
          <w:tcPr>
            <w:tcW w:w="1665" w:type="pct"/>
            <w:tcBorders>
              <w:top w:val="single" w:color="000000" w:sz="4" w:space="0"/>
              <w:left w:val="single" w:color="000000" w:sz="4" w:space="0"/>
              <w:bottom w:val="single" w:color="000000" w:sz="4" w:space="0"/>
              <w:right w:val="single" w:color="000000" w:sz="4" w:space="0"/>
            </w:tcBorders>
            <w:vAlign w:val="center"/>
          </w:tcPr>
          <w:p w14:paraId="66F87E4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SH/T 0689—2000</w:t>
            </w:r>
          </w:p>
        </w:tc>
      </w:tr>
      <w:tr w14:paraId="3160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vAlign w:val="center"/>
          </w:tcPr>
          <w:p w14:paraId="7EC810F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6</w:t>
            </w:r>
          </w:p>
        </w:tc>
        <w:tc>
          <w:tcPr>
            <w:tcW w:w="1111" w:type="pct"/>
            <w:tcBorders>
              <w:top w:val="single" w:color="000000" w:sz="4" w:space="0"/>
              <w:left w:val="single" w:color="000000" w:sz="4" w:space="0"/>
              <w:bottom w:val="single" w:color="000000" w:sz="4" w:space="0"/>
              <w:right w:val="single" w:color="000000" w:sz="4" w:space="0"/>
            </w:tcBorders>
            <w:vAlign w:val="center"/>
          </w:tcPr>
          <w:p w14:paraId="2407520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氯含量</w:t>
            </w:r>
          </w:p>
        </w:tc>
        <w:tc>
          <w:tcPr>
            <w:tcW w:w="1665" w:type="pct"/>
            <w:tcBorders>
              <w:top w:val="single" w:color="000000" w:sz="4" w:space="0"/>
              <w:left w:val="single" w:color="000000" w:sz="4" w:space="0"/>
              <w:bottom w:val="single" w:color="000000" w:sz="4" w:space="0"/>
              <w:right w:val="single" w:color="000000" w:sz="4" w:space="0"/>
            </w:tcBorders>
            <w:vAlign w:val="center"/>
          </w:tcPr>
          <w:p w14:paraId="49A6582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32859—2016</w:t>
            </w:r>
          </w:p>
        </w:tc>
        <w:tc>
          <w:tcPr>
            <w:tcW w:w="1665" w:type="pct"/>
            <w:tcBorders>
              <w:top w:val="single" w:color="000000" w:sz="4" w:space="0"/>
              <w:left w:val="single" w:color="000000" w:sz="4" w:space="0"/>
              <w:bottom w:val="single" w:color="000000" w:sz="4" w:space="0"/>
              <w:right w:val="single" w:color="000000" w:sz="4" w:space="0"/>
            </w:tcBorders>
            <w:vAlign w:val="center"/>
          </w:tcPr>
          <w:p w14:paraId="59F8ECC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SH/T 1147—2025</w:t>
            </w:r>
          </w:p>
        </w:tc>
      </w:tr>
      <w:tr w14:paraId="2F61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vAlign w:val="center"/>
          </w:tcPr>
          <w:p w14:paraId="726FE72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7</w:t>
            </w:r>
          </w:p>
        </w:tc>
        <w:tc>
          <w:tcPr>
            <w:tcW w:w="1111" w:type="pct"/>
            <w:tcBorders>
              <w:top w:val="single" w:color="000000" w:sz="4" w:space="0"/>
              <w:left w:val="single" w:color="000000" w:sz="4" w:space="0"/>
              <w:bottom w:val="single" w:color="000000" w:sz="4" w:space="0"/>
              <w:right w:val="single" w:color="000000" w:sz="4" w:space="0"/>
            </w:tcBorders>
            <w:vAlign w:val="center"/>
          </w:tcPr>
          <w:p w14:paraId="4B2DB9A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水分</w:t>
            </w:r>
          </w:p>
        </w:tc>
        <w:tc>
          <w:tcPr>
            <w:tcW w:w="1665" w:type="pct"/>
            <w:tcBorders>
              <w:top w:val="single" w:color="000000" w:sz="4" w:space="0"/>
              <w:left w:val="single" w:color="000000" w:sz="4" w:space="0"/>
              <w:bottom w:val="single" w:color="000000" w:sz="4" w:space="0"/>
              <w:right w:val="single" w:color="000000" w:sz="4" w:space="0"/>
            </w:tcBorders>
            <w:vAlign w:val="center"/>
          </w:tcPr>
          <w:p w14:paraId="5FD811A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32859—2016</w:t>
            </w:r>
          </w:p>
        </w:tc>
        <w:tc>
          <w:tcPr>
            <w:tcW w:w="1665" w:type="pct"/>
            <w:tcBorders>
              <w:top w:val="single" w:color="000000" w:sz="4" w:space="0"/>
              <w:left w:val="single" w:color="000000" w:sz="4" w:space="0"/>
              <w:bottom w:val="single" w:color="000000" w:sz="4" w:space="0"/>
              <w:right w:val="single" w:color="000000" w:sz="4" w:space="0"/>
            </w:tcBorders>
            <w:vAlign w:val="center"/>
          </w:tcPr>
          <w:p w14:paraId="0990E70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val="0"/>
                <w:sz w:val="21"/>
              </w:rPr>
            </w:pPr>
            <w:r>
              <w:rPr>
                <w:rFonts w:hint="default" w:ascii="Times New Roman" w:hAnsi="Times New Roman" w:eastAsia="宋体" w:cs="Times New Roman"/>
                <w:b w:val="0"/>
                <w:bCs w:val="0"/>
                <w:sz w:val="21"/>
              </w:rPr>
              <w:t>GB/T 260—2016</w:t>
            </w:r>
          </w:p>
        </w:tc>
      </w:tr>
      <w:tr w14:paraId="68A09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vAlign w:val="center"/>
          </w:tcPr>
          <w:p w14:paraId="1785618E">
            <w:pPr>
              <w:snapToGrid w:val="0"/>
              <w:spacing w:before="0" w:after="0" w:line="240" w:lineRule="auto"/>
              <w:ind w:left="0" w:leftChars="0" w:right="0" w:rightChars="0" w:firstLine="0" w:firstLineChars="0"/>
              <w:jc w:val="both"/>
              <w:rPr>
                <w:rFonts w:hint="eastAsia" w:ascii="Times New Roman" w:hAnsi="Times New Roman" w:eastAsia="宋体" w:cs="Times New Roman"/>
                <w:b w:val="0"/>
                <w:bCs w:val="0"/>
                <w:sz w:val="21"/>
                <w:lang w:val="en-US" w:eastAsia="zh-CN"/>
              </w:rPr>
            </w:pPr>
            <w:r>
              <w:rPr>
                <w:rFonts w:hint="eastAsia" w:ascii="Times New Roman" w:hAnsi="Times New Roman" w:cs="Times New Roman"/>
                <w:b w:val="0"/>
                <w:bCs w:val="0"/>
                <w:sz w:val="21"/>
                <w:lang w:val="en-US" w:eastAsia="zh-CN"/>
              </w:rPr>
              <w:t>注：</w:t>
            </w:r>
            <w:r>
              <w:rPr>
                <w:rFonts w:hint="eastAsia" w:ascii="Times New Roman" w:hAnsi="Times New Roman" w:cs="Times New Roman"/>
                <w:b w:val="0"/>
                <w:bCs/>
                <w:sz w:val="21"/>
                <w:szCs w:val="21"/>
                <w:lang w:val="en-US" w:eastAsia="zh-CN"/>
              </w:rPr>
              <w:t>#项为快筛项目，根据实际需要实施。</w:t>
            </w:r>
          </w:p>
        </w:tc>
      </w:tr>
    </w:tbl>
    <w:p w14:paraId="6E8BD7F8">
      <w:pPr>
        <w:widowControl w:val="0"/>
        <w:snapToGrid w:val="0"/>
        <w:spacing w:after="0" w:line="240" w:lineRule="auto"/>
        <w:ind w:firstLine="420" w:firstLineChars="200"/>
        <w:jc w:val="both"/>
        <w:rPr>
          <w:rFonts w:hint="eastAsia" w:ascii="宋体" w:hAnsi="宋体" w:cs="Times New Roman"/>
          <w:color w:val="000000"/>
          <w:kern w:val="2"/>
          <w:sz w:val="21"/>
          <w:szCs w:val="21"/>
          <w:lang w:eastAsia="zh-CN"/>
        </w:rPr>
      </w:pPr>
    </w:p>
    <w:p w14:paraId="38BA3C60">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执行企业标准、团体标准、地方标准的产品，检验项目参照上述内容执行。</w:t>
      </w:r>
    </w:p>
    <w:p w14:paraId="6DD6B9C0">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6DC918AC">
      <w:pPr>
        <w:widowControl w:val="0"/>
        <w:snapToGrid w:val="0"/>
        <w:spacing w:after="0" w:line="240" w:lineRule="auto"/>
        <w:ind w:firstLine="420" w:firstLineChars="200"/>
        <w:jc w:val="both"/>
        <w:rPr>
          <w:rFonts w:hint="eastAsia" w:ascii="宋体" w:hAnsi="宋体" w:cs="Times New Roman"/>
          <w:color w:val="000000"/>
          <w:kern w:val="2"/>
          <w:sz w:val="21"/>
          <w:szCs w:val="21"/>
          <w:lang w:eastAsia="zh-CN"/>
        </w:rPr>
      </w:pPr>
    </w:p>
    <w:p w14:paraId="633DFBB0">
      <w:pPr>
        <w:widowControl w:val="0"/>
        <w:snapToGrid w:val="0"/>
        <w:spacing w:after="0" w:line="440" w:lineRule="exact"/>
        <w:jc w:val="both"/>
        <w:rPr>
          <w:rFonts w:hint="eastAsia" w:ascii="黑体" w:hAnsi="宋体" w:eastAsia="黑体" w:cs="Times New Roman"/>
          <w:color w:val="000000"/>
          <w:kern w:val="2"/>
          <w:sz w:val="21"/>
          <w:szCs w:val="21"/>
          <w:lang w:eastAsia="zh-CN"/>
        </w:rPr>
      </w:pPr>
      <w:r>
        <w:rPr>
          <w:rFonts w:hint="eastAsia" w:ascii="黑体" w:hAnsi="宋体" w:eastAsia="黑体" w:cs="Times New Roman"/>
          <w:color w:val="000000"/>
          <w:kern w:val="2"/>
          <w:sz w:val="21"/>
          <w:szCs w:val="21"/>
          <w:lang w:eastAsia="zh-CN"/>
        </w:rPr>
        <w:t>3 判定规则</w:t>
      </w:r>
    </w:p>
    <w:p w14:paraId="7E95E2CB">
      <w:pPr>
        <w:widowControl w:val="0"/>
        <w:snapToGrid w:val="0"/>
        <w:spacing w:after="0" w:line="440" w:lineRule="exact"/>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3.1 依据标准</w:t>
      </w:r>
    </w:p>
    <w:p w14:paraId="1AE0CB19">
      <w:pPr>
        <w:widowControl w:val="0"/>
        <w:snapToGrid w:val="0"/>
        <w:spacing w:after="0" w:line="440" w:lineRule="exact"/>
        <w:ind w:firstLine="420" w:firstLineChars="200"/>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GB/T 32859—2016 柴油清净剂</w:t>
      </w:r>
    </w:p>
    <w:p w14:paraId="02D7B864">
      <w:pPr>
        <w:widowControl w:val="0"/>
        <w:snapToGrid w:val="0"/>
        <w:spacing w:after="0" w:line="440" w:lineRule="exact"/>
        <w:ind w:firstLine="420" w:firstLineChars="200"/>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现行有效的企业标准、团体标准、地方标准及产品明示质量要求</w:t>
      </w:r>
    </w:p>
    <w:p w14:paraId="67E9DCCB">
      <w:pPr>
        <w:widowControl w:val="0"/>
        <w:snapToGrid w:val="0"/>
        <w:spacing w:after="0" w:line="440" w:lineRule="exact"/>
        <w:jc w:val="both"/>
        <w:rPr>
          <w:rFonts w:hint="default" w:ascii="Times New Roman" w:hAnsi="Times New Roman" w:cs="Times New Roman"/>
          <w:color w:val="000000"/>
          <w:kern w:val="2"/>
          <w:sz w:val="21"/>
          <w:szCs w:val="21"/>
          <w:lang w:eastAsia="zh-CN"/>
        </w:rPr>
      </w:pPr>
      <w:r>
        <w:rPr>
          <w:rFonts w:hint="default" w:ascii="Times New Roman" w:hAnsi="Times New Roman" w:cs="Times New Roman"/>
          <w:color w:val="000000"/>
          <w:kern w:val="2"/>
          <w:sz w:val="21"/>
          <w:szCs w:val="21"/>
          <w:lang w:eastAsia="zh-CN"/>
        </w:rPr>
        <w:t>3.2 判定原则</w:t>
      </w:r>
    </w:p>
    <w:p w14:paraId="504D741A">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2D2461BF">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若被检产品明示的质量要求高于本细则中检验项目依据的标准要求时，应按被检产品明示的质量要求判定。</w:t>
      </w:r>
    </w:p>
    <w:p w14:paraId="665CF54B">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若被检产品明示的质量要求低于本细则中检验项目依据的强制性标准要求时，应按照强制性标准要求判定。</w:t>
      </w:r>
    </w:p>
    <w:p w14:paraId="53E559CF">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若被检产品明示的质量要求低于或包含本细则中检验项目依据的推荐性标准要求时，应以被检产品明示的质量要求判定。</w:t>
      </w:r>
    </w:p>
    <w:p w14:paraId="1B3B6F04">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若被检产品明示的质量要求缺少本细则中检验项目依据的强制性标准要求时，应按照强制性标准要求判定。</w:t>
      </w:r>
    </w:p>
    <w:p w14:paraId="563A6C9E">
      <w:pPr>
        <w:widowControl w:val="0"/>
        <w:snapToGrid w:val="0"/>
        <w:spacing w:after="0" w:line="440" w:lineRule="exact"/>
        <w:ind w:firstLine="420" w:firstLineChars="200"/>
        <w:jc w:val="both"/>
        <w:rPr>
          <w:rFonts w:hint="eastAsia" w:ascii="宋体" w:hAnsi="宋体" w:cs="Times New Roman"/>
          <w:color w:val="000000"/>
          <w:kern w:val="2"/>
          <w:sz w:val="21"/>
          <w:szCs w:val="21"/>
          <w:lang w:eastAsia="zh-CN"/>
        </w:rPr>
      </w:pPr>
      <w:r>
        <w:rPr>
          <w:rFonts w:hint="eastAsia" w:ascii="宋体" w:hAnsi="宋体" w:cs="Times New Roman"/>
          <w:color w:val="000000"/>
          <w:kern w:val="2"/>
          <w:sz w:val="21"/>
          <w:szCs w:val="21"/>
          <w:lang w:eastAsia="zh-CN"/>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39EBC5ED-81E2-42EE-963C-BF2487E32A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2" w:fontKey="{5594E31B-0E64-4C73-9E96-F962088FB0C1}"/>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E0000" w:usb2="00000000" w:usb3="00000000" w:csb0="00040000" w:csb1="00000000"/>
    <w:embedRegular r:id="rId3" w:fontKey="{FFA6E2F6-675C-44C8-B94A-66CC71ADD89A}"/>
  </w:font>
  <w:font w:name="仿宋">
    <w:panose1 w:val="02010609060101010101"/>
    <w:charset w:val="86"/>
    <w:family w:val="modern"/>
    <w:pitch w:val="default"/>
    <w:sig w:usb0="800002BF" w:usb1="38CF7CFA" w:usb2="00000016" w:usb3="00000000" w:csb0="00040001" w:csb1="00000000"/>
    <w:embedRegular r:id="rId4" w:fontKey="{D4B0B24C-01A2-4C0B-A36F-17D57252A74E}"/>
  </w:font>
  <w:font w:name="方正仿宋简体">
    <w:panose1 w:val="02000000000000000000"/>
    <w:charset w:val="86"/>
    <w:family w:val="script"/>
    <w:pitch w:val="default"/>
    <w:sig w:usb0="A00002BF" w:usb1="184F6CFA" w:usb2="00000012" w:usb3="00000000" w:csb0="00040001" w:csb1="00000000"/>
    <w:embedRegular r:id="rId5" w:fontKey="{E481F5D5-AEB9-4984-A108-B576371AD4C9}"/>
  </w:font>
  <w:font w:name="ＭＳ 明朝">
    <w:altName w:val="Segoe Print"/>
    <w:panose1 w:val="00000000000000000000"/>
    <w:charset w:val="00"/>
    <w:family w:val="auto"/>
    <w:pitch w:val="default"/>
    <w:sig w:usb0="00000000" w:usb1="00000000" w:usb2="00000000" w:usb3="00000000" w:csb0="00000000" w:csb1="00000000"/>
    <w:embedRegular r:id="rId6" w:fontKey="{B6A5FE45-0897-4F95-A785-4BABB6CC9857}"/>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WPSEMBED6">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1635C49"/>
    <w:rsid w:val="0B220922"/>
    <w:rsid w:val="0E8A0CB9"/>
    <w:rsid w:val="0EF56A7A"/>
    <w:rsid w:val="19F142E2"/>
    <w:rsid w:val="1B8F3DB2"/>
    <w:rsid w:val="1CD00D9F"/>
    <w:rsid w:val="1F2962CC"/>
    <w:rsid w:val="1F3F76C5"/>
    <w:rsid w:val="233A0AA7"/>
    <w:rsid w:val="24D80578"/>
    <w:rsid w:val="265276F0"/>
    <w:rsid w:val="2AAF3B55"/>
    <w:rsid w:val="2B2C065E"/>
    <w:rsid w:val="2F0B139B"/>
    <w:rsid w:val="315E709A"/>
    <w:rsid w:val="328424C7"/>
    <w:rsid w:val="3FA255B3"/>
    <w:rsid w:val="407451A1"/>
    <w:rsid w:val="49D92519"/>
    <w:rsid w:val="4D9D3612"/>
    <w:rsid w:val="5027550C"/>
    <w:rsid w:val="548051B1"/>
    <w:rsid w:val="55B47996"/>
    <w:rsid w:val="56DE116E"/>
    <w:rsid w:val="570F43DF"/>
    <w:rsid w:val="57A557E8"/>
    <w:rsid w:val="5FF720D2"/>
    <w:rsid w:val="71347EB1"/>
    <w:rsid w:val="7141612A"/>
    <w:rsid w:val="7AE91D0C"/>
    <w:rsid w:val="7B6A53AF"/>
    <w:rsid w:val="7DCF4A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6"/>
    <w:qFormat/>
    <w:uiPriority w:val="99"/>
  </w:style>
  <w:style w:type="character" w:customStyle="1" w:styleId="137">
    <w:name w:val="Footer Char"/>
    <w:basedOn w:val="133"/>
    <w:link w:val="25"/>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0"/>
    <w:qFormat/>
    <w:uiPriority w:val="99"/>
  </w:style>
  <w:style w:type="character" w:customStyle="1" w:styleId="146">
    <w:name w:val="Body Text 2 Char"/>
    <w:basedOn w:val="133"/>
    <w:link w:val="29"/>
    <w:qFormat/>
    <w:uiPriority w:val="99"/>
  </w:style>
  <w:style w:type="character" w:customStyle="1" w:styleId="147">
    <w:name w:val="Body Text 3 Char"/>
    <w:basedOn w:val="133"/>
    <w:link w:val="18"/>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676</Words>
  <Characters>861</Characters>
  <Lines>0</Lines>
  <Paragraphs>0</Paragraphs>
  <TotalTime>5</TotalTime>
  <ScaleCrop>false</ScaleCrop>
  <LinksUpToDate>false</LinksUpToDate>
  <CharactersWithSpaces>882</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zw</cp:lastModifiedBy>
  <dcterms:modified xsi:type="dcterms:W3CDTF">2026-07-02T02:26:10Z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eyJoZGlkIjoiYjU4YTEyOWI0YTA1NzExMDUyM2E4NzRjZjM1MmQ2OWEiLCJ1c2VySWQiOiIxMTI2NTcyODI0In0=</vt:lpwstr>
  </property>
  <property fmtid="{D5CDD505-2E9C-101B-9397-08002B2CF9AE}" pid="3" name="KSOProductBuildVer">
    <vt:lpwstr>2052-12.1.0.23122</vt:lpwstr>
  </property>
  <property fmtid="{D5CDD505-2E9C-101B-9397-08002B2CF9AE}" pid="4" name="ICV">
    <vt:lpwstr>9DC28E5B11014EDE8588DF5E7628510A_13</vt:lpwstr>
  </property>
</Properties>
</file>